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1AEF3" w14:textId="73C32D24" w:rsidR="00CA393C" w:rsidRDefault="00CA393C" w:rsidP="00CA393C">
      <w:pPr>
        <w:rPr>
          <w:b/>
          <w:bCs/>
          <w:sz w:val="28"/>
          <w:szCs w:val="28"/>
        </w:rPr>
      </w:pPr>
      <w:r>
        <w:rPr>
          <w:b/>
          <w:bCs/>
          <w:sz w:val="28"/>
          <w:szCs w:val="28"/>
        </w:rPr>
        <w:t xml:space="preserve">Beleidsgroep </w:t>
      </w:r>
      <w:r w:rsidRPr="00E11A93">
        <w:rPr>
          <w:b/>
          <w:bCs/>
          <w:sz w:val="28"/>
          <w:szCs w:val="28"/>
        </w:rPr>
        <w:t>– 2021-2022 Trimester 1 t/m 3</w:t>
      </w:r>
    </w:p>
    <w:p w14:paraId="106B932B" w14:textId="77777777" w:rsidR="00CA393C" w:rsidRDefault="00CA393C" w:rsidP="00CA393C">
      <w:pPr>
        <w:rPr>
          <w:rFonts w:eastAsiaTheme="minorEastAsia"/>
          <w:i/>
          <w:iCs/>
          <w:color w:val="212529"/>
        </w:rPr>
      </w:pPr>
      <w:r w:rsidRPr="3EB79C86">
        <w:rPr>
          <w:rFonts w:eastAsiaTheme="minorEastAsia"/>
          <w:i/>
          <w:iCs/>
          <w:color w:val="212529"/>
        </w:rPr>
        <w:t>Passend onderwijs en jeugdhulp gaan hand in hand, zodat elke leerling het onderwijs en de zorg krijgt die nodig zijn. Dit vraagt dat gemeenten en samenwerkingsverband op alle niveaus in ons netwerk samen optrekken en goed afstemmen. De afgelopen jaren is het gelukt steeds meer als partners samen te werken voor de kinderen in onze regio. We weten elkaar steeds gemakkelijker te vinden, verbindingen te leggen en gezamenlijk onze verantwoordelijkheid te nemen. We zijn erin geslaagd onze organisatienetwerken met elkaar te verbinden tot een lerend regionaal netwerk waarin we leren van onze activiteiten en resultaten. We realiseren ons dat we bezig zijn met een transitie. We maken daarom afspraken die de gewenste transitie stimuleren en faciliteren.</w:t>
      </w:r>
    </w:p>
    <w:p w14:paraId="21A7BAB0" w14:textId="398DCA51" w:rsidR="00CA393C" w:rsidRDefault="00CA393C" w:rsidP="00CA393C">
      <w:pPr>
        <w:rPr>
          <w:rFonts w:eastAsiaTheme="minorEastAsia"/>
          <w:i/>
          <w:iCs/>
          <w:color w:val="212529"/>
        </w:rPr>
      </w:pPr>
      <w:r w:rsidRPr="3EB79C86">
        <w:rPr>
          <w:rFonts w:eastAsiaTheme="minorEastAsia"/>
          <w:i/>
          <w:iCs/>
          <w:color w:val="212529"/>
        </w:rPr>
        <w:t>Dit heeft geleid tot een aantal strategische ambities die zijn vastgesteld in het ‘Op Overeenstemming Gericht Overleg’ (OOGO). In dit overleg besluiten de bestuurders van de samenwerkingsverbanden PO en VO en wethouders van de aangesloten gemeenten (Alkmaar, Bergen, Heiloo, Uitgeest, Castricum en Dijk &amp; Waard) wat zij de komende jaren willen bereiken. Dit overleg wordt voorbereid door de regisseursgroep, waaraan een afvaardiging vanuit de gemeentes en de directeuren van de samenwerkingsverbanden PO en VO deelnemen. Ook de uitwerking van de besluiten in het OOGO en de beleidsmatige voorbereiding wordt door gemeenten en samenwerkingsverbanden gezamenlijk opgepakt in de beleidsgroep.</w:t>
      </w:r>
    </w:p>
    <w:p w14:paraId="0F976616" w14:textId="77777777" w:rsidR="00CA393C" w:rsidRDefault="00CA393C" w:rsidP="00CA393C">
      <w:pPr>
        <w:rPr>
          <w:b/>
          <w:bCs/>
          <w:sz w:val="28"/>
          <w:szCs w:val="28"/>
        </w:rPr>
      </w:pPr>
    </w:p>
    <w:p w14:paraId="703AB742" w14:textId="77777777" w:rsidR="00CA393C" w:rsidRPr="007F09AB" w:rsidRDefault="00CA393C" w:rsidP="00CA393C">
      <w:pPr>
        <w:rPr>
          <w:rFonts w:eastAsiaTheme="minorEastAsia"/>
          <w:b/>
          <w:bCs/>
          <w:color w:val="212529"/>
        </w:rPr>
      </w:pPr>
      <w:r w:rsidRPr="00C36894">
        <w:rPr>
          <w:rFonts w:ascii="Calibri" w:hAnsi="Calibri" w:cs="Calibri"/>
          <w:b/>
          <w:bCs/>
        </w:rPr>
        <w:t>Beleidsgroep</w:t>
      </w:r>
      <w:r>
        <w:rPr>
          <w:rFonts w:ascii="Calibri" w:hAnsi="Calibri" w:cs="Calibri"/>
        </w:rPr>
        <w:t xml:space="preserve"> - </w:t>
      </w:r>
      <w:r>
        <w:rPr>
          <w:rFonts w:eastAsiaTheme="minorEastAsia"/>
          <w:b/>
          <w:bCs/>
          <w:color w:val="212529"/>
        </w:rPr>
        <w:t>1</w:t>
      </w:r>
      <w:r w:rsidRPr="007F09AB">
        <w:rPr>
          <w:rFonts w:eastAsiaTheme="minorEastAsia"/>
          <w:b/>
          <w:bCs/>
          <w:color w:val="212529"/>
          <w:vertAlign w:val="superscript"/>
        </w:rPr>
        <w:t>e</w:t>
      </w:r>
      <w:r w:rsidRPr="007F09AB">
        <w:rPr>
          <w:rFonts w:eastAsiaTheme="minorEastAsia"/>
          <w:b/>
          <w:bCs/>
          <w:color w:val="212529"/>
        </w:rPr>
        <w:t xml:space="preserve"> trimester</w:t>
      </w:r>
    </w:p>
    <w:p w14:paraId="179550A5" w14:textId="77777777" w:rsidR="00CA393C" w:rsidRDefault="00CA393C" w:rsidP="00CA393C">
      <w:pPr>
        <w:pStyle w:val="Lijstalinea"/>
        <w:numPr>
          <w:ilvl w:val="0"/>
          <w:numId w:val="1"/>
        </w:numPr>
        <w:rPr>
          <w:rFonts w:eastAsiaTheme="minorEastAsia"/>
          <w:color w:val="212529"/>
        </w:rPr>
      </w:pPr>
      <w:r w:rsidRPr="3EB79C86">
        <w:rPr>
          <w:rFonts w:eastAsiaTheme="minorEastAsia"/>
          <w:color w:val="212529"/>
        </w:rPr>
        <w:t xml:space="preserve">De </w:t>
      </w:r>
      <w:r w:rsidRPr="3EB79C86">
        <w:rPr>
          <w:rFonts w:eastAsiaTheme="minorEastAsia"/>
          <w:b/>
          <w:bCs/>
          <w:color w:val="212529"/>
        </w:rPr>
        <w:t>notitie inclusie</w:t>
      </w:r>
      <w:r w:rsidRPr="3EB79C86">
        <w:rPr>
          <w:rFonts w:eastAsiaTheme="minorEastAsia"/>
          <w:color w:val="212529"/>
        </w:rPr>
        <w:t xml:space="preserve"> die is vastgelegd vormt samen met het kader OZA het draagvlak voor het inzet van gemeente- en onderwijsgelden voor het bieden van de juiste ondersteuning voor onderwijs nabij.</w:t>
      </w:r>
    </w:p>
    <w:p w14:paraId="5643928C" w14:textId="77777777" w:rsidR="00CA393C" w:rsidRDefault="00CA393C" w:rsidP="00CA393C">
      <w:pPr>
        <w:pStyle w:val="Lijstalinea"/>
        <w:numPr>
          <w:ilvl w:val="0"/>
          <w:numId w:val="1"/>
        </w:numPr>
        <w:rPr>
          <w:rFonts w:eastAsiaTheme="minorEastAsia"/>
          <w:color w:val="212529"/>
        </w:rPr>
      </w:pPr>
      <w:r w:rsidRPr="3EB79C86">
        <w:rPr>
          <w:rFonts w:eastAsiaTheme="minorEastAsia"/>
          <w:color w:val="212529"/>
        </w:rPr>
        <w:t xml:space="preserve">Daarnaast heeft de GGD van de gemeente Alkmaar het nu mogelijk gemaakt dat kinderen uit hun gemeente nu </w:t>
      </w:r>
      <w:hyperlink r:id="rId5">
        <w:r w:rsidRPr="3EB79C86">
          <w:rPr>
            <w:rStyle w:val="Hyperlink"/>
            <w:rFonts w:eastAsiaTheme="minorEastAsia"/>
            <w:b/>
            <w:bCs/>
          </w:rPr>
          <w:t>sociale competentietrainingen</w:t>
        </w:r>
      </w:hyperlink>
      <w:r w:rsidRPr="3EB79C86">
        <w:rPr>
          <w:rFonts w:eastAsiaTheme="minorEastAsia"/>
          <w:color w:val="212529"/>
        </w:rPr>
        <w:t xml:space="preserve"> kunnen krijgen met hun eigen groep op school. Kinderen hoeven daardoor niet meer na schooltijd naar wijkgroepen, maar leren met hun eigen klasgenoten weerbaarder en sociaal vaardiger te worden.</w:t>
      </w:r>
    </w:p>
    <w:p w14:paraId="7959DF12" w14:textId="77777777" w:rsidR="00CA393C" w:rsidRDefault="00CA393C" w:rsidP="00CA393C">
      <w:pPr>
        <w:pStyle w:val="Lijstalinea"/>
        <w:numPr>
          <w:ilvl w:val="0"/>
          <w:numId w:val="1"/>
        </w:numPr>
        <w:rPr>
          <w:rFonts w:eastAsiaTheme="minorEastAsia"/>
          <w:color w:val="212529"/>
        </w:rPr>
      </w:pPr>
      <w:r w:rsidRPr="3EB79C86">
        <w:rPr>
          <w:rFonts w:eastAsiaTheme="minorEastAsia"/>
          <w:color w:val="212529"/>
        </w:rPr>
        <w:t xml:space="preserve">Omdat weerbaarheid, zelfredzaamheid en flexibiliteit bijdragen aan het welbevinden van kinderen hebben de gemeenten, samenwerkingsverbanden en besturen daarom hun commitment uitgesproken in het </w:t>
      </w:r>
      <w:hyperlink r:id="rId6">
        <w:r w:rsidRPr="3EB79C86">
          <w:rPr>
            <w:rStyle w:val="Hyperlink"/>
            <w:rFonts w:eastAsiaTheme="minorEastAsia"/>
            <w:b/>
            <w:bCs/>
          </w:rPr>
          <w:t>Veerkrachtpact</w:t>
        </w:r>
      </w:hyperlink>
      <w:r w:rsidRPr="3EB79C86">
        <w:rPr>
          <w:rFonts w:eastAsiaTheme="minorEastAsia"/>
          <w:color w:val="212529"/>
        </w:rPr>
        <w:t>. Dit pact benadrukt dat we samen optrekken in het versterken en vergroten van de veerkracht van kinderen en dat we daar samen acties voor zullen initiëren en zullen sturen op de benodigde ontwikkelingen die dan nodig zijn. Dit pact is uitgewerkt in een uitvoeringsplan dat nu voorligt in het OOGO en voor besluitvorming bij gemeenten.</w:t>
      </w:r>
    </w:p>
    <w:p w14:paraId="07CFAA0E" w14:textId="77777777" w:rsidR="00CA393C" w:rsidRDefault="00CA393C" w:rsidP="00CA393C">
      <w:pPr>
        <w:pStyle w:val="Lijstalinea"/>
        <w:numPr>
          <w:ilvl w:val="0"/>
          <w:numId w:val="1"/>
        </w:numPr>
        <w:rPr>
          <w:rFonts w:eastAsiaTheme="minorEastAsia"/>
          <w:color w:val="212529"/>
        </w:rPr>
      </w:pPr>
      <w:r w:rsidRPr="3EB79C86">
        <w:rPr>
          <w:rFonts w:eastAsiaTheme="minorEastAsia"/>
          <w:color w:val="212529"/>
        </w:rPr>
        <w:t xml:space="preserve">Er wordt gewerkt aan een </w:t>
      </w:r>
      <w:r w:rsidRPr="3EB79C86">
        <w:rPr>
          <w:rFonts w:eastAsiaTheme="minorEastAsia"/>
          <w:b/>
          <w:bCs/>
          <w:color w:val="212529"/>
        </w:rPr>
        <w:t>samenwerkingsovereenkomst</w:t>
      </w:r>
      <w:r w:rsidRPr="3EB79C86">
        <w:rPr>
          <w:rFonts w:eastAsiaTheme="minorEastAsia"/>
          <w:color w:val="212529"/>
        </w:rPr>
        <w:t xml:space="preserve"> tussen gemeenten en onderwijs, waarin de gezamenlijke ambitie en het financieel juridisch construct waarmee dit mogelijk wordt gemaakt wordt beschreven.</w:t>
      </w:r>
    </w:p>
    <w:p w14:paraId="44BB9FF2" w14:textId="77777777" w:rsidR="00CA393C" w:rsidRDefault="00CA393C" w:rsidP="00CA393C">
      <w:pPr>
        <w:rPr>
          <w:rFonts w:eastAsiaTheme="minorEastAsia"/>
          <w:b/>
          <w:bCs/>
          <w:color w:val="212529"/>
        </w:rPr>
      </w:pPr>
    </w:p>
    <w:p w14:paraId="6CF3DDFA" w14:textId="77777777" w:rsidR="00CA393C" w:rsidRPr="007F09AB" w:rsidRDefault="00CA393C" w:rsidP="00CA393C">
      <w:pPr>
        <w:rPr>
          <w:rFonts w:eastAsiaTheme="minorEastAsia"/>
          <w:b/>
          <w:bCs/>
          <w:color w:val="212529"/>
        </w:rPr>
      </w:pPr>
      <w:r w:rsidRPr="00C36894">
        <w:rPr>
          <w:rFonts w:ascii="Calibri" w:hAnsi="Calibri" w:cs="Calibri"/>
          <w:b/>
          <w:bCs/>
        </w:rPr>
        <w:t>Beleidsgroep</w:t>
      </w:r>
      <w:r>
        <w:rPr>
          <w:rFonts w:ascii="Calibri" w:hAnsi="Calibri" w:cs="Calibri"/>
        </w:rPr>
        <w:t xml:space="preserve"> - </w:t>
      </w:r>
      <w:r w:rsidRPr="007F09AB">
        <w:rPr>
          <w:rFonts w:eastAsiaTheme="minorEastAsia"/>
          <w:b/>
          <w:bCs/>
          <w:color w:val="212529"/>
        </w:rPr>
        <w:t>2</w:t>
      </w:r>
      <w:r w:rsidRPr="007F09AB">
        <w:rPr>
          <w:rFonts w:eastAsiaTheme="minorEastAsia"/>
          <w:b/>
          <w:bCs/>
          <w:color w:val="212529"/>
          <w:vertAlign w:val="superscript"/>
        </w:rPr>
        <w:t>e</w:t>
      </w:r>
      <w:r w:rsidRPr="007F09AB">
        <w:rPr>
          <w:rFonts w:eastAsiaTheme="minorEastAsia"/>
          <w:b/>
          <w:bCs/>
          <w:color w:val="212529"/>
        </w:rPr>
        <w:t xml:space="preserve"> trimester</w:t>
      </w:r>
    </w:p>
    <w:p w14:paraId="6297C292" w14:textId="77777777" w:rsidR="00CA393C" w:rsidRDefault="00CA393C" w:rsidP="00CA393C">
      <w:pPr>
        <w:pStyle w:val="elementtoproof"/>
        <w:numPr>
          <w:ilvl w:val="0"/>
          <w:numId w:val="2"/>
        </w:numPr>
        <w:spacing w:before="0" w:beforeAutospacing="0" w:after="0" w:afterAutospacing="0"/>
        <w:rPr>
          <w:rFonts w:eastAsia="Times New Roman"/>
          <w:color w:val="201F1E"/>
        </w:rPr>
      </w:pPr>
      <w:r w:rsidRPr="00841BB5">
        <w:rPr>
          <w:rFonts w:eastAsia="Times New Roman"/>
          <w:b/>
          <w:bCs/>
          <w:color w:val="201F1E"/>
        </w:rPr>
        <w:t>Veerkrachtpact</w:t>
      </w:r>
      <w:r>
        <w:rPr>
          <w:rFonts w:eastAsia="Times New Roman"/>
          <w:color w:val="201F1E"/>
        </w:rPr>
        <w:t>: Gemeenten gaan zich inspannen om (i.s.m. de Samenwerkingsverbanden) de NPO-gelden die ze hebben gekregen in te zetten voor de weerbaarheid en veerkracht van de jeugdigen. </w:t>
      </w:r>
    </w:p>
    <w:p w14:paraId="73103387" w14:textId="77777777" w:rsidR="00CA393C" w:rsidRDefault="00CA393C" w:rsidP="00CA393C">
      <w:pPr>
        <w:pStyle w:val="elementtoproof"/>
        <w:numPr>
          <w:ilvl w:val="0"/>
          <w:numId w:val="2"/>
        </w:numPr>
        <w:spacing w:before="0" w:beforeAutospacing="0" w:after="0" w:afterAutospacing="0"/>
        <w:rPr>
          <w:rFonts w:eastAsia="Times New Roman"/>
          <w:color w:val="201F1E"/>
        </w:rPr>
      </w:pPr>
      <w:r w:rsidRPr="00454D3F">
        <w:rPr>
          <w:rFonts w:eastAsia="Times New Roman"/>
          <w:b/>
          <w:bCs/>
          <w:color w:val="201F1E"/>
        </w:rPr>
        <w:t>Routekaart naar Inclusie</w:t>
      </w:r>
      <w:r>
        <w:rPr>
          <w:rFonts w:eastAsia="Times New Roman"/>
          <w:color w:val="201F1E"/>
        </w:rPr>
        <w:t>: De beleidsgroep heeft samen met de achterban de routekaart naar inclusie in beeld gebracht. En welke acties nodig zijn van de verschillende netwerkgroepen.</w:t>
      </w:r>
    </w:p>
    <w:p w14:paraId="4F95AFBD" w14:textId="77777777" w:rsidR="00CA393C" w:rsidRDefault="00CA393C" w:rsidP="00CA393C">
      <w:pPr>
        <w:pStyle w:val="elementtoproof"/>
        <w:numPr>
          <w:ilvl w:val="0"/>
          <w:numId w:val="2"/>
        </w:numPr>
        <w:spacing w:before="0" w:beforeAutospacing="0" w:after="0" w:afterAutospacing="0"/>
        <w:rPr>
          <w:rFonts w:eastAsia="Times New Roman"/>
          <w:color w:val="201F1E"/>
        </w:rPr>
      </w:pPr>
      <w:r>
        <w:rPr>
          <w:rFonts w:eastAsia="Times New Roman"/>
          <w:color w:val="201F1E"/>
        </w:rPr>
        <w:lastRenderedPageBreak/>
        <w:t xml:space="preserve">De beleidsgroep heeft een </w:t>
      </w:r>
      <w:r w:rsidRPr="00A7794A">
        <w:rPr>
          <w:rFonts w:eastAsia="Times New Roman"/>
          <w:color w:val="201F1E"/>
        </w:rPr>
        <w:t>tussentijdse</w:t>
      </w:r>
      <w:r w:rsidRPr="00454D3F">
        <w:rPr>
          <w:rFonts w:eastAsia="Times New Roman"/>
          <w:b/>
          <w:bCs/>
          <w:color w:val="201F1E"/>
        </w:rPr>
        <w:t xml:space="preserve"> evaluatie van de</w:t>
      </w:r>
      <w:r>
        <w:rPr>
          <w:rFonts w:eastAsia="Times New Roman"/>
          <w:color w:val="201F1E"/>
        </w:rPr>
        <w:t xml:space="preserve"> </w:t>
      </w:r>
      <w:r w:rsidRPr="00454D3F">
        <w:rPr>
          <w:rFonts w:eastAsia="Times New Roman"/>
          <w:b/>
          <w:bCs/>
          <w:color w:val="201F1E"/>
        </w:rPr>
        <w:t>uitvoeringsagenda</w:t>
      </w:r>
      <w:r>
        <w:rPr>
          <w:rFonts w:eastAsia="Times New Roman"/>
          <w:color w:val="201F1E"/>
        </w:rPr>
        <w:t xml:space="preserve"> opgesteld met de aanvullende acties die nog nodig zijn.</w:t>
      </w:r>
    </w:p>
    <w:p w14:paraId="3C83BC81" w14:textId="77777777" w:rsidR="00CA393C" w:rsidRDefault="00CA393C" w:rsidP="00CA393C">
      <w:pPr>
        <w:pStyle w:val="elementtoproof"/>
        <w:spacing w:before="0" w:beforeAutospacing="0" w:after="0" w:afterAutospacing="0"/>
        <w:rPr>
          <w:rFonts w:eastAsia="Times New Roman"/>
          <w:color w:val="201F1E"/>
        </w:rPr>
      </w:pPr>
    </w:p>
    <w:p w14:paraId="24E36859" w14:textId="77777777" w:rsidR="00CA393C" w:rsidRDefault="00CA393C" w:rsidP="00CA393C">
      <w:pPr>
        <w:pStyle w:val="elementtoproof"/>
        <w:spacing w:before="0" w:beforeAutospacing="0" w:after="0" w:afterAutospacing="0"/>
        <w:rPr>
          <w:rFonts w:eastAsia="Times New Roman"/>
          <w:color w:val="201F1E"/>
        </w:rPr>
      </w:pPr>
      <w:r>
        <w:rPr>
          <w:rFonts w:eastAsia="Times New Roman"/>
          <w:color w:val="201F1E"/>
        </w:rPr>
        <w:t>Ontwikkelingen/trends:</w:t>
      </w:r>
    </w:p>
    <w:p w14:paraId="4326DCBF" w14:textId="77777777" w:rsidR="00CA393C" w:rsidRPr="00645BB0" w:rsidRDefault="00CA393C" w:rsidP="00CA393C">
      <w:pPr>
        <w:pStyle w:val="elementtoproof"/>
        <w:numPr>
          <w:ilvl w:val="0"/>
          <w:numId w:val="2"/>
        </w:numPr>
        <w:spacing w:before="0" w:beforeAutospacing="0" w:after="0" w:afterAutospacing="0"/>
        <w:rPr>
          <w:rFonts w:eastAsia="Times New Roman"/>
        </w:rPr>
      </w:pPr>
      <w:r w:rsidRPr="00645BB0">
        <w:rPr>
          <w:rFonts w:eastAsia="Times New Roman"/>
        </w:rPr>
        <w:t xml:space="preserve">De beleidsgroep signaleerde dat de samenstelling te wisselend werd en dat de </w:t>
      </w:r>
      <w:proofErr w:type="spellStart"/>
      <w:r w:rsidRPr="00645BB0">
        <w:rPr>
          <w:rFonts w:eastAsia="Times New Roman"/>
        </w:rPr>
        <w:t>swv's</w:t>
      </w:r>
      <w:proofErr w:type="spellEnd"/>
      <w:r w:rsidRPr="00645BB0">
        <w:rPr>
          <w:rFonts w:eastAsia="Times New Roman"/>
        </w:rPr>
        <w:t xml:space="preserve"> van Midden-Kennemerland vaak verhinderd waren. Besloten is om een basisteam te vormen waarin alle partijen (gemeenten en </w:t>
      </w:r>
      <w:proofErr w:type="spellStart"/>
      <w:r w:rsidRPr="00645BB0">
        <w:rPr>
          <w:rFonts w:eastAsia="Times New Roman"/>
        </w:rPr>
        <w:t>swv's</w:t>
      </w:r>
      <w:proofErr w:type="spellEnd"/>
      <w:r w:rsidRPr="00645BB0">
        <w:rPr>
          <w:rFonts w:eastAsia="Times New Roman"/>
        </w:rPr>
        <w:t>) vertegenwoordigd zijn. Samen zullen zij de voortgang van de verschillende opdrachten (die de netwerkgroepen gaan uitwerken) blijven monitoren en agenderen.</w:t>
      </w:r>
    </w:p>
    <w:p w14:paraId="44EF70FD" w14:textId="77777777" w:rsidR="00CA393C" w:rsidRDefault="00CA393C" w:rsidP="00CA393C">
      <w:pPr>
        <w:pStyle w:val="elementtoproof"/>
        <w:numPr>
          <w:ilvl w:val="0"/>
          <w:numId w:val="2"/>
        </w:numPr>
        <w:spacing w:before="0" w:beforeAutospacing="0" w:after="0" w:afterAutospacing="0"/>
        <w:rPr>
          <w:rFonts w:eastAsia="Times New Roman"/>
          <w:color w:val="201F1E"/>
        </w:rPr>
      </w:pPr>
      <w:r>
        <w:rPr>
          <w:rFonts w:eastAsia="Times New Roman"/>
          <w:color w:val="201F1E"/>
        </w:rPr>
        <w:t xml:space="preserve">De beleidsgroep monitort de ontwikkelingen die te maken hebben met de uitvoeringsagenda, de notitie inclusie en het veerkrachtpact. Zo onderzoeken we o.a. de mogelijkheden rondom deze thema's t.a.v. </w:t>
      </w:r>
      <w:r w:rsidRPr="00454D3F">
        <w:rPr>
          <w:rFonts w:eastAsia="Times New Roman"/>
          <w:b/>
          <w:bCs/>
          <w:color w:val="201F1E"/>
        </w:rPr>
        <w:t>leerlingenvervoer</w:t>
      </w:r>
      <w:r>
        <w:rPr>
          <w:rFonts w:eastAsia="Times New Roman"/>
          <w:color w:val="201F1E"/>
        </w:rPr>
        <w:t xml:space="preserve"> en </w:t>
      </w:r>
      <w:r w:rsidRPr="00454D3F">
        <w:rPr>
          <w:rFonts w:eastAsia="Times New Roman"/>
          <w:b/>
          <w:bCs/>
          <w:color w:val="201F1E"/>
        </w:rPr>
        <w:t>huisvesting</w:t>
      </w:r>
      <w:r>
        <w:rPr>
          <w:rFonts w:eastAsia="Times New Roman"/>
          <w:color w:val="201F1E"/>
        </w:rPr>
        <w:t>.</w:t>
      </w:r>
    </w:p>
    <w:p w14:paraId="30CE7F70" w14:textId="77777777" w:rsidR="00CA393C" w:rsidRDefault="00CA393C" w:rsidP="00CA393C">
      <w:pPr>
        <w:pStyle w:val="Kop1"/>
        <w:rPr>
          <w:rFonts w:ascii="Calibri" w:hAnsi="Calibri" w:cs="Calibri"/>
          <w:sz w:val="22"/>
          <w:szCs w:val="22"/>
        </w:rPr>
      </w:pPr>
      <w:r>
        <w:rPr>
          <w:rFonts w:ascii="Calibri" w:hAnsi="Calibri" w:cs="Calibri"/>
          <w:sz w:val="22"/>
          <w:szCs w:val="22"/>
        </w:rPr>
        <w:t xml:space="preserve">Beleidsgroep - 3e trimester </w:t>
      </w:r>
    </w:p>
    <w:p w14:paraId="7CFBCA3E" w14:textId="77777777" w:rsidR="00CA393C" w:rsidRDefault="00CA393C" w:rsidP="00CA393C">
      <w:pPr>
        <w:shd w:val="clear" w:color="auto" w:fill="FFFFFF"/>
        <w:rPr>
          <w:rFonts w:eastAsia="Times New Roman"/>
          <w:color w:val="201F1E"/>
        </w:rPr>
      </w:pPr>
      <w:r>
        <w:rPr>
          <w:rFonts w:eastAsia="Times New Roman"/>
          <w:color w:val="201F1E"/>
        </w:rPr>
        <w:t>Welke onderwerpen zijn het 3</w:t>
      </w:r>
      <w:r>
        <w:rPr>
          <w:rFonts w:eastAsia="Times New Roman"/>
          <w:color w:val="201F1E"/>
          <w:vertAlign w:val="superscript"/>
        </w:rPr>
        <w:t>e</w:t>
      </w:r>
      <w:r>
        <w:rPr>
          <w:rFonts w:eastAsia="Times New Roman"/>
          <w:color w:val="201F1E"/>
        </w:rPr>
        <w:t> trimester besproken in de netwerkgroep (mag puntsgewijs, opbrengsten benoemen).</w:t>
      </w:r>
    </w:p>
    <w:p w14:paraId="628AB591" w14:textId="77777777" w:rsidR="00CA393C" w:rsidRDefault="00CA393C" w:rsidP="00CA393C">
      <w:pPr>
        <w:numPr>
          <w:ilvl w:val="0"/>
          <w:numId w:val="3"/>
        </w:numPr>
        <w:shd w:val="clear" w:color="auto" w:fill="FFFFFF"/>
        <w:rPr>
          <w:rFonts w:eastAsia="Times New Roman"/>
          <w:color w:val="201F1E"/>
        </w:rPr>
      </w:pPr>
      <w:r>
        <w:rPr>
          <w:rFonts w:eastAsia="Times New Roman"/>
          <w:color w:val="201F1E"/>
        </w:rPr>
        <w:t>In de beleidsgroep is uitgebreid stilgestaan bij de nieuwe verordening voor leerlingenvervoer.</w:t>
      </w:r>
      <w:r>
        <w:rPr>
          <w:rFonts w:eastAsia="Times New Roman"/>
          <w:color w:val="201F1E"/>
        </w:rPr>
        <w:br/>
        <w:t>In de verordening is opgenomen dat voortaan niet alleen vervoer gerealiseerd moet kunnen worden voor kinderen die naar speciaal onderwijs gaan, maar ook voor kinderen die het beste passend aanbod kunnen krijgen op een speciale voorziening op een andere basisschool of een zorgvoorziening. </w:t>
      </w:r>
      <w:r>
        <w:rPr>
          <w:rFonts w:eastAsia="Times New Roman"/>
          <w:color w:val="201F1E"/>
        </w:rPr>
        <w:br/>
        <w:t>Ook is er extra aandacht geweest voor het vervoer van nieuwkomers. </w:t>
      </w:r>
      <w:r>
        <w:rPr>
          <w:rFonts w:eastAsia="Times New Roman"/>
          <w:color w:val="201F1E"/>
        </w:rPr>
        <w:br/>
        <w:t>Een ander opbrengst is dat er voortaan ook een netwerkgroep zal komen waarin beleidsmedewerkers, consulenten, vervoersaanbieders en scholen zullen monitoren op de naleving van de verordening.</w:t>
      </w:r>
      <w:r>
        <w:rPr>
          <w:rFonts w:eastAsia="Times New Roman"/>
          <w:color w:val="201F1E"/>
        </w:rPr>
        <w:br/>
        <w:t>Maar ook zal de groep zich buigen over casuïstiek om zo de verordening te kunnen finetunen en om hindernissen weg te nemen.</w:t>
      </w:r>
    </w:p>
    <w:p w14:paraId="7E645E0E" w14:textId="77777777" w:rsidR="00CA393C" w:rsidRDefault="00CA393C" w:rsidP="00CA393C">
      <w:pPr>
        <w:shd w:val="clear" w:color="auto" w:fill="FFFFFF"/>
        <w:rPr>
          <w:rFonts w:eastAsia="Times New Roman"/>
          <w:color w:val="201F1E"/>
        </w:rPr>
      </w:pPr>
    </w:p>
    <w:p w14:paraId="6B792BE1" w14:textId="77777777" w:rsidR="00CA393C" w:rsidRPr="000F7A50" w:rsidRDefault="00CA393C" w:rsidP="00CA393C">
      <w:pPr>
        <w:shd w:val="clear" w:color="auto" w:fill="FFFFFF"/>
        <w:rPr>
          <w:rFonts w:eastAsia="Times New Roman"/>
          <w:b/>
          <w:bCs/>
          <w:color w:val="201F1E"/>
        </w:rPr>
      </w:pPr>
      <w:r w:rsidRPr="000F7A50">
        <w:rPr>
          <w:rFonts w:eastAsia="Times New Roman"/>
          <w:b/>
          <w:bCs/>
          <w:color w:val="201F1E"/>
        </w:rPr>
        <w:t>Ontwikkelingen/trends voor het komend trimester/schooljaar</w:t>
      </w:r>
    </w:p>
    <w:p w14:paraId="22954D0D" w14:textId="77777777" w:rsidR="00CA393C" w:rsidRDefault="00CA393C" w:rsidP="00CA393C">
      <w:pPr>
        <w:numPr>
          <w:ilvl w:val="0"/>
          <w:numId w:val="3"/>
        </w:numPr>
        <w:shd w:val="clear" w:color="auto" w:fill="FFFFFF"/>
        <w:rPr>
          <w:rFonts w:eastAsia="Times New Roman"/>
          <w:color w:val="201F1E"/>
        </w:rPr>
      </w:pPr>
      <w:r>
        <w:rPr>
          <w:rFonts w:eastAsia="Times New Roman"/>
          <w:color w:val="201F1E"/>
        </w:rPr>
        <w:t>Komend jaar zal de beleidsgroep zich gaan richten op de implementatie van het Kader OZA en de Routekaart naar Inclusie. Hierbij speelt huisvesting o.a. een belangrijke rol. Net voor de zomervakantie is hier een eerste start voor gemaakt.</w:t>
      </w:r>
    </w:p>
    <w:p w14:paraId="54B9BE5E" w14:textId="77777777" w:rsidR="00CA393C" w:rsidRDefault="00CA393C" w:rsidP="00CA393C">
      <w:pPr>
        <w:rPr>
          <w:rFonts w:eastAsia="Times New Roman"/>
          <w:color w:val="000000"/>
          <w:sz w:val="24"/>
          <w:szCs w:val="24"/>
        </w:rPr>
      </w:pPr>
    </w:p>
    <w:p w14:paraId="68B3485F" w14:textId="77777777" w:rsidR="008743CC" w:rsidRDefault="00000000"/>
    <w:sectPr w:rsidR="00874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2F5F"/>
    <w:multiLevelType w:val="multilevel"/>
    <w:tmpl w:val="0CFA4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125B15"/>
    <w:multiLevelType w:val="hybridMultilevel"/>
    <w:tmpl w:val="F10860EA"/>
    <w:lvl w:ilvl="0" w:tplc="460478D4">
      <w:start w:val="1"/>
      <w:numFmt w:val="bullet"/>
      <w:lvlText w:val=""/>
      <w:lvlJc w:val="left"/>
      <w:pPr>
        <w:ind w:left="720" w:hanging="360"/>
      </w:pPr>
      <w:rPr>
        <w:rFonts w:ascii="Symbol" w:hAnsi="Symbol" w:hint="default"/>
      </w:rPr>
    </w:lvl>
    <w:lvl w:ilvl="1" w:tplc="CC08EB1C">
      <w:start w:val="1"/>
      <w:numFmt w:val="bullet"/>
      <w:lvlText w:val="o"/>
      <w:lvlJc w:val="left"/>
      <w:pPr>
        <w:ind w:left="1440" w:hanging="360"/>
      </w:pPr>
      <w:rPr>
        <w:rFonts w:ascii="Courier New" w:hAnsi="Courier New" w:hint="default"/>
      </w:rPr>
    </w:lvl>
    <w:lvl w:ilvl="2" w:tplc="48EE31DC">
      <w:start w:val="1"/>
      <w:numFmt w:val="bullet"/>
      <w:lvlText w:val=""/>
      <w:lvlJc w:val="left"/>
      <w:pPr>
        <w:ind w:left="2160" w:hanging="360"/>
      </w:pPr>
      <w:rPr>
        <w:rFonts w:ascii="Wingdings" w:hAnsi="Wingdings" w:hint="default"/>
      </w:rPr>
    </w:lvl>
    <w:lvl w:ilvl="3" w:tplc="4CCA4A4A">
      <w:start w:val="1"/>
      <w:numFmt w:val="bullet"/>
      <w:lvlText w:val=""/>
      <w:lvlJc w:val="left"/>
      <w:pPr>
        <w:ind w:left="2880" w:hanging="360"/>
      </w:pPr>
      <w:rPr>
        <w:rFonts w:ascii="Symbol" w:hAnsi="Symbol" w:hint="default"/>
      </w:rPr>
    </w:lvl>
    <w:lvl w:ilvl="4" w:tplc="48241B5A">
      <w:start w:val="1"/>
      <w:numFmt w:val="bullet"/>
      <w:lvlText w:val="o"/>
      <w:lvlJc w:val="left"/>
      <w:pPr>
        <w:ind w:left="3600" w:hanging="360"/>
      </w:pPr>
      <w:rPr>
        <w:rFonts w:ascii="Courier New" w:hAnsi="Courier New" w:hint="default"/>
      </w:rPr>
    </w:lvl>
    <w:lvl w:ilvl="5" w:tplc="BF1E9698">
      <w:start w:val="1"/>
      <w:numFmt w:val="bullet"/>
      <w:lvlText w:val=""/>
      <w:lvlJc w:val="left"/>
      <w:pPr>
        <w:ind w:left="4320" w:hanging="360"/>
      </w:pPr>
      <w:rPr>
        <w:rFonts w:ascii="Wingdings" w:hAnsi="Wingdings" w:hint="default"/>
      </w:rPr>
    </w:lvl>
    <w:lvl w:ilvl="6" w:tplc="CC14C5D0">
      <w:start w:val="1"/>
      <w:numFmt w:val="bullet"/>
      <w:lvlText w:val=""/>
      <w:lvlJc w:val="left"/>
      <w:pPr>
        <w:ind w:left="5040" w:hanging="360"/>
      </w:pPr>
      <w:rPr>
        <w:rFonts w:ascii="Symbol" w:hAnsi="Symbol" w:hint="default"/>
      </w:rPr>
    </w:lvl>
    <w:lvl w:ilvl="7" w:tplc="7946FECA">
      <w:start w:val="1"/>
      <w:numFmt w:val="bullet"/>
      <w:lvlText w:val="o"/>
      <w:lvlJc w:val="left"/>
      <w:pPr>
        <w:ind w:left="5760" w:hanging="360"/>
      </w:pPr>
      <w:rPr>
        <w:rFonts w:ascii="Courier New" w:hAnsi="Courier New" w:hint="default"/>
      </w:rPr>
    </w:lvl>
    <w:lvl w:ilvl="8" w:tplc="531838CA">
      <w:start w:val="1"/>
      <w:numFmt w:val="bullet"/>
      <w:lvlText w:val=""/>
      <w:lvlJc w:val="left"/>
      <w:pPr>
        <w:ind w:left="6480" w:hanging="360"/>
      </w:pPr>
      <w:rPr>
        <w:rFonts w:ascii="Wingdings" w:hAnsi="Wingdings" w:hint="default"/>
      </w:rPr>
    </w:lvl>
  </w:abstractNum>
  <w:abstractNum w:abstractNumId="2" w15:restartNumberingAfterBreak="0">
    <w:nsid w:val="358728A9"/>
    <w:multiLevelType w:val="multilevel"/>
    <w:tmpl w:val="4E522B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959288467">
    <w:abstractNumId w:val="1"/>
  </w:num>
  <w:num w:numId="2" w16cid:durableId="2033649709">
    <w:abstractNumId w:val="0"/>
  </w:num>
  <w:num w:numId="3" w16cid:durableId="1513759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3C"/>
    <w:rsid w:val="00094135"/>
    <w:rsid w:val="00A805C0"/>
    <w:rsid w:val="00CA39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F6AE"/>
  <w15:chartTrackingRefBased/>
  <w15:docId w15:val="{817C09B8-2366-42CB-AB1B-6F94E776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393C"/>
  </w:style>
  <w:style w:type="paragraph" w:styleId="Kop1">
    <w:name w:val="heading 1"/>
    <w:basedOn w:val="Standaard"/>
    <w:link w:val="Kop1Char"/>
    <w:uiPriority w:val="9"/>
    <w:qFormat/>
    <w:rsid w:val="00CA39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393C"/>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unhideWhenUsed/>
    <w:rsid w:val="00CA393C"/>
    <w:rPr>
      <w:color w:val="0000FF"/>
      <w:u w:val="single"/>
    </w:rPr>
  </w:style>
  <w:style w:type="paragraph" w:styleId="Lijstalinea">
    <w:name w:val="List Paragraph"/>
    <w:basedOn w:val="Standaard"/>
    <w:uiPriority w:val="34"/>
    <w:qFormat/>
    <w:rsid w:val="00CA393C"/>
    <w:pPr>
      <w:ind w:left="720"/>
      <w:contextualSpacing/>
    </w:pPr>
  </w:style>
  <w:style w:type="paragraph" w:customStyle="1" w:styleId="elementtoproof">
    <w:name w:val="elementtoproof"/>
    <w:basedOn w:val="Standaard"/>
    <w:rsid w:val="00CA393C"/>
    <w:pPr>
      <w:spacing w:before="100" w:beforeAutospacing="1" w:after="100" w:afterAutospacing="1" w:line="240" w:lineRule="auto"/>
    </w:pPr>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rkplaats.ppo-nk.nl/thoughts/5909" TargetMode="External"/><Relationship Id="rId5" Type="http://schemas.openxmlformats.org/officeDocument/2006/relationships/hyperlink" Target="https://werkplaats.ppo-nk.nl/thoughts/5519"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4460</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Willemsen</dc:creator>
  <cp:keywords/>
  <dc:description/>
  <cp:lastModifiedBy>Jolanda Willemsen</cp:lastModifiedBy>
  <cp:revision>1</cp:revision>
  <dcterms:created xsi:type="dcterms:W3CDTF">2023-02-04T07:19:00Z</dcterms:created>
  <dcterms:modified xsi:type="dcterms:W3CDTF">2023-02-04T07:20:00Z</dcterms:modified>
</cp:coreProperties>
</file>